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36"/>
          <w:szCs w:val="36"/>
          <w:rtl w:val="0"/>
        </w:rPr>
        <w:t xml:space="preserve">CAF realiza exitosa emisión de bonos en México por MXN 1.437 millones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 Narrow" w:cs="Arial Narrow" w:eastAsia="Arial Narrow" w:hAnsi="Arial Narrow"/>
          <w:i w:val="1"/>
          <w:color w:val="a6a6a6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a6a6a6"/>
          <w:sz w:val="24"/>
          <w:szCs w:val="24"/>
          <w:rtl w:val="0"/>
        </w:rPr>
        <w:t xml:space="preserve">América Latina contará con más recursos para impulsar su reactivación económica y social con el regreso de CAF, luego de una década, al mercado local mexicano con una emisión de bonos a 10 años.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a6a6a6"/>
          <w:sz w:val="24"/>
          <w:szCs w:val="24"/>
          <w:rtl w:val="0"/>
        </w:rPr>
        <w:t xml:space="preserve">(Ciudad de México, 13 de mayo de 2021).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CAF -banco de desarrollo de América Latina- regresó al mercado mexicano con una exitosa emisión de bonos por un monto total de MXN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1.437 millones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211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millones de unidades de inversión) 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10 años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y un cupón de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3,54%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indexado a inflación.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“Nos complace regresar después de 10 años al mercado local, teniendo 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México como miembro pleno de CAF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 Esta exitosa emisión nos permitirá canalizar más recursos a este país y a la región en general, con el propósito de seguir apoyándolos en sus planes de atención y recuperación social y económica para superar la pandemia, mejorar la calidad de vida de la población y promover el desarrollo sostenible”, aseguró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Renny López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 presidente ejecutivo interino de CAF.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Esta colocación, equivalente aproximadamente a </w:t>
      </w: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sz w:val="24"/>
          <w:szCs w:val="24"/>
          <w:rtl w:val="0"/>
        </w:rPr>
        <w:t xml:space="preserve">USD 71 millones</w:t>
      </w: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y estructurada por el BBVA, contó con una participación destacada de inversionistas institucionales, aseguradoras y fondos de pensiones.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CAF cerró el 2020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con un récord de más de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USD 14.000 millones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en aprobaciones de préstamos, la mayoría destinados a atender los efectos de la pandemia en la economía y en los sistemas de salud, así como a mejorar las infraestructuras digitales, terrestres y energéticas.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Al cierre de su 50 aniversario, el organismo multilateral acumuló un total de más de USD 200.000 millones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aprobados desde 1970, para promover el desarrollo sostenible y la integración regional.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El Banco de Desarrollo de América Latina lleva a cabo desde hace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tres décadas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una estrategia de diversificación de sus fuentes de financiamiento, a través de una presencia ininterrumpida en los mercados globales de capital, que lo han ubicado en una posición privilegiada internacionalmente. La multilateral promueve el desarrollo sostenible y la integración regional, mediante una eficiente movilización de recursos para la prestación oportuna de servicios financieros múltiples, de alto valor agregado, a clientes de los sectores público y privado de los países accionistas.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CAF, Dirección de Comunicación Estratégica,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infocaf@caf.com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hd w:fill="ffffff" w:val="clear"/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1567815</wp:posOffset>
          </wp:positionH>
          <wp:positionV relativeFrom="paragraph">
            <wp:posOffset>-335279</wp:posOffset>
          </wp:positionV>
          <wp:extent cx="2476500" cy="936308"/>
          <wp:effectExtent b="0" l="0" r="0" t="0"/>
          <wp:wrapTopAndBottom distB="114300" distT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9363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0F0A"/>
    <w:pPr>
      <w:spacing w:after="200" w:line="276" w:lineRule="auto"/>
    </w:pPr>
    <w:rPr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E50F0A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E50F0A"/>
    <w:pPr>
      <w:spacing w:after="0" w:line="240" w:lineRule="auto"/>
    </w:pPr>
    <w:rPr>
      <w:rFonts w:ascii="Consolas" w:cs="Times New Roman" w:eastAsia="Calibri" w:hAnsi="Consolas"/>
      <w:sz w:val="21"/>
      <w:szCs w:val="21"/>
      <w:lang w:eastAsia="es-ES" w:val="es-ES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E50F0A"/>
    <w:rPr>
      <w:rFonts w:ascii="Consolas" w:cs="Times New Roman" w:eastAsia="Calibri" w:hAnsi="Consolas"/>
      <w:sz w:val="21"/>
      <w:szCs w:val="21"/>
      <w:lang w:eastAsia="es-ES" w:val="es-ES"/>
    </w:rPr>
  </w:style>
  <w:style w:type="character" w:styleId="Textoennegrita">
    <w:name w:val="Strong"/>
    <w:basedOn w:val="Fuentedeprrafopredeter"/>
    <w:uiPriority w:val="22"/>
    <w:qFormat w:val="1"/>
    <w:rsid w:val="00E50F0A"/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E50F0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50F0A"/>
    <w:rPr>
      <w:lang w:val="es-CO"/>
    </w:rPr>
  </w:style>
  <w:style w:type="paragraph" w:styleId="Piedepgina">
    <w:name w:val="footer"/>
    <w:basedOn w:val="Normal"/>
    <w:link w:val="PiedepginaCar"/>
    <w:uiPriority w:val="99"/>
    <w:unhideWhenUsed w:val="1"/>
    <w:rsid w:val="00461F2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1F2A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07B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07B6"/>
    <w:rPr>
      <w:rFonts w:ascii="Segoe UI" w:cs="Segoe UI" w:hAnsi="Segoe UI"/>
      <w:sz w:val="18"/>
      <w:szCs w:val="18"/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CAF.America.Latina" TargetMode="External"/><Relationship Id="rId9" Type="http://schemas.openxmlformats.org/officeDocument/2006/relationships/hyperlink" Target="mailto:infocaf@caf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f.com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xpZZw0eZYX4msI8KzQYE0FofA==">AMUW2mVMpQf0XOUUOCdIV8q6ErFePXAjBfhJ7NZzjYPD0zsEnbVLREXTXfF060tdRjD/hIeYDSC1u5IRe+r8wkvhXx3gsjec/2he5zz8Li86HOKYd1rWb3Y=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2021-05-12T22:46:00Z</dcterms:created>
  <dc:creator>ABREW, NICOLAS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efe8cce8-5a1c-46e6-8473-87966e80f114</vt:lpwstr>
  </property>
</Properties>
</file>